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68C5" w14:textId="77777777" w:rsidR="00413264" w:rsidRDefault="00413264">
      <w:pPr>
        <w:rPr>
          <w:rFonts w:eastAsia="MS PGothic" w:hAnsi="Calibri" w:cs="Arial"/>
          <w:b/>
          <w:bCs/>
          <w:color w:val="144D29"/>
          <w:kern w:val="24"/>
          <w:position w:val="1"/>
          <w:sz w:val="44"/>
          <w:szCs w:val="44"/>
          <w:lang w:val="en-US"/>
        </w:rPr>
        <w:sectPr w:rsidR="00413264" w:rsidSect="00413264">
          <w:headerReference w:type="default" r:id="rId7"/>
          <w:footerReference w:type="default" r:id="rId8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03069C30" w14:textId="404A0C87" w:rsidR="000072D2" w:rsidRPr="00413264" w:rsidRDefault="00AA22D2">
      <w:pPr>
        <w:rPr>
          <w:rFonts w:eastAsia="MS PGothic" w:hAnsi="Calibri" w:cs="Arial"/>
          <w:b/>
          <w:bCs/>
          <w:color w:val="E98300"/>
          <w:kern w:val="24"/>
          <w:position w:val="1"/>
          <w:sz w:val="44"/>
          <w:szCs w:val="44"/>
          <w:lang w:val="en-US"/>
        </w:rPr>
      </w:pPr>
      <w:r w:rsidRPr="00413264">
        <w:rPr>
          <w:rFonts w:eastAsia="MS PGothic" w:hAnsi="Calibri" w:cs="Arial"/>
          <w:b/>
          <w:bCs/>
          <w:color w:val="E98300"/>
          <w:kern w:val="24"/>
          <w:position w:val="1"/>
          <w:sz w:val="44"/>
          <w:szCs w:val="44"/>
          <w:lang w:val="en-US"/>
        </w:rPr>
        <w:t>Be Aware of</w:t>
      </w:r>
      <w:r w:rsidR="00413264">
        <w:rPr>
          <w:rFonts w:eastAsia="MS PGothic" w:hAnsi="Calibri" w:cs="Arial"/>
          <w:b/>
          <w:bCs/>
          <w:color w:val="E98300"/>
          <w:kern w:val="24"/>
          <w:position w:val="1"/>
          <w:sz w:val="44"/>
          <w:szCs w:val="44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8"/>
        <w:gridCol w:w="4842"/>
      </w:tblGrid>
      <w:tr w:rsidR="00856397" w:rsidRPr="00856397" w14:paraId="32C0656C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29C01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Silos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79F8C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Valve chambers</w:t>
            </w:r>
          </w:p>
        </w:tc>
      </w:tr>
      <w:tr w:rsidR="00856397" w:rsidRPr="00856397" w14:paraId="11F6D20B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FB67B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 xml:space="preserve">Bins </w:t>
            </w:r>
            <w:r w:rsidRPr="00AA22D2">
              <w:rPr>
                <w:rFonts w:ascii="Calibri Light" w:eastAsia="Times New Roman" w:hAnsi="Calibri Light" w:cs="Arial"/>
                <w:i/>
                <w:iCs/>
                <w:color w:val="000000" w:themeColor="text1"/>
                <w:kern w:val="24"/>
                <w:sz w:val="32"/>
                <w:szCs w:val="32"/>
                <w:lang w:eastAsia="en-CA"/>
              </w:rPr>
              <w:t>(grain, feed, seed)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42C9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Pump/lift stations</w:t>
            </w:r>
          </w:p>
        </w:tc>
      </w:tr>
      <w:tr w:rsidR="00856397" w:rsidRPr="00856397" w14:paraId="77F11961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4AC3E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Bunkers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09281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Septic tanks</w:t>
            </w:r>
          </w:p>
        </w:tc>
      </w:tr>
      <w:tr w:rsidR="00856397" w:rsidRPr="00856397" w14:paraId="6BF1026F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7991E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 xml:space="preserve">Tanks </w:t>
            </w:r>
            <w:r w:rsidRPr="00AA22D2">
              <w:rPr>
                <w:rFonts w:ascii="Calibri Light" w:eastAsia="Times New Roman" w:hAnsi="Calibri Light" w:cs="Arial"/>
                <w:i/>
                <w:iCs/>
                <w:color w:val="000000" w:themeColor="text1"/>
                <w:kern w:val="24"/>
                <w:sz w:val="32"/>
                <w:szCs w:val="32"/>
                <w:lang w:eastAsia="en-CA"/>
              </w:rPr>
              <w:t>(milk, water, fuel)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A0FE7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Well pits</w:t>
            </w:r>
          </w:p>
        </w:tc>
      </w:tr>
      <w:tr w:rsidR="00856397" w:rsidRPr="00856397" w14:paraId="51682134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73D49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Manure pits/ponds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6CECC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Boilers</w:t>
            </w:r>
          </w:p>
        </w:tc>
      </w:tr>
      <w:tr w:rsidR="00856397" w:rsidRPr="00856397" w14:paraId="0232ED0A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EB178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Composting pits/ponds</w:t>
            </w: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B1073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Sumps &amp; Manholes</w:t>
            </w:r>
          </w:p>
        </w:tc>
      </w:tr>
      <w:tr w:rsidR="00856397" w:rsidRPr="00856397" w14:paraId="50B542B6" w14:textId="77777777" w:rsidTr="00413264">
        <w:trPr>
          <w:trHeight w:val="584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C436A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Open-topped tanks</w:t>
            </w: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br/>
            </w:r>
            <w:r w:rsidRPr="00AA22D2">
              <w:rPr>
                <w:rFonts w:ascii="Calibri Light" w:eastAsia="Times New Roman" w:hAnsi="Calibri Light" w:cs="Arial"/>
                <w:i/>
                <w:iCs/>
                <w:color w:val="000000" w:themeColor="text1"/>
                <w:kern w:val="24"/>
                <w:sz w:val="32"/>
                <w:szCs w:val="32"/>
                <w:lang w:eastAsia="en-CA"/>
              </w:rPr>
              <w:t>(water, brown water)</w:t>
            </w:r>
            <w:r w:rsidR="00AA22D2" w:rsidRPr="00AA22D2">
              <w:rPr>
                <w:rFonts w:ascii="Calibri Light" w:eastAsia="Times New Roman" w:hAnsi="Calibri Light" w:cs="Arial"/>
                <w:i/>
                <w:iCs/>
                <w:color w:val="000000" w:themeColor="text1"/>
                <w:kern w:val="24"/>
                <w:sz w:val="32"/>
                <w:szCs w:val="32"/>
                <w:lang w:eastAsia="en-CA"/>
              </w:rPr>
              <w:t xml:space="preserve"> </w:t>
            </w:r>
          </w:p>
          <w:p w14:paraId="2F732ED9" w14:textId="77777777" w:rsidR="00AA22D2" w:rsidRPr="00AA22D2" w:rsidRDefault="00AA22D2" w:rsidP="00AA22D2">
            <w:pPr>
              <w:spacing w:after="0" w:line="240" w:lineRule="auto"/>
              <w:ind w:left="1267"/>
              <w:contextualSpacing/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</w:pPr>
          </w:p>
          <w:p w14:paraId="70D9169E" w14:textId="77777777" w:rsidR="00085C12" w:rsidRPr="00AA22D2" w:rsidRDefault="00085C12" w:rsidP="00085C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</w:p>
          <w:p w14:paraId="534598CB" w14:textId="77777777" w:rsidR="00085C12" w:rsidRPr="00AA22D2" w:rsidRDefault="00085C12" w:rsidP="00085C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</w:p>
          <w:p w14:paraId="30038514" w14:textId="77777777" w:rsidR="00085C12" w:rsidRPr="00AA22D2" w:rsidRDefault="00085C12" w:rsidP="00085C1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</w:p>
        </w:tc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5283C" w14:textId="77777777" w:rsidR="00856397" w:rsidRPr="00AA22D2" w:rsidRDefault="00856397" w:rsidP="00856397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color w:val="ED8B00"/>
                <w:sz w:val="32"/>
                <w:szCs w:val="32"/>
                <w:lang w:eastAsia="en-CA"/>
              </w:rPr>
            </w:pPr>
            <w:r w:rsidRPr="00AA22D2">
              <w:rPr>
                <w:rFonts w:eastAsia="Times New Roman" w:hAnsi="Calibri" w:cs="Arial"/>
                <w:color w:val="000000" w:themeColor="text1"/>
                <w:kern w:val="24"/>
                <w:sz w:val="32"/>
                <w:szCs w:val="32"/>
                <w:lang w:eastAsia="en-CA"/>
              </w:rPr>
              <w:t>Crawlspaces</w:t>
            </w:r>
          </w:p>
        </w:tc>
      </w:tr>
    </w:tbl>
    <w:p w14:paraId="54CD33CE" w14:textId="77777777" w:rsidR="00856397" w:rsidRPr="00413264" w:rsidRDefault="00085C12" w:rsidP="00413264">
      <w:pPr>
        <w:jc w:val="center"/>
        <w:rPr>
          <w:color w:val="E98300"/>
          <w:sz w:val="56"/>
          <w:szCs w:val="56"/>
        </w:rPr>
      </w:pPr>
      <w:r w:rsidRPr="00413264">
        <w:rPr>
          <w:color w:val="E98300"/>
          <w:sz w:val="56"/>
          <w:szCs w:val="56"/>
        </w:rPr>
        <w:t>DO NOT ENTER CONFINED SPACES</w:t>
      </w:r>
    </w:p>
    <w:p w14:paraId="795DF1EF" w14:textId="77777777" w:rsidR="00413264" w:rsidRDefault="00413264" w:rsidP="00AA22D2">
      <w:pPr>
        <w:spacing w:after="0" w:line="240" w:lineRule="auto"/>
        <w:contextualSpacing/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</w:pPr>
    </w:p>
    <w:p w14:paraId="5F49510F" w14:textId="487CCC85" w:rsidR="00AA22D2" w:rsidRPr="00AA22D2" w:rsidRDefault="00AA22D2" w:rsidP="00413264">
      <w:pPr>
        <w:spacing w:after="0" w:line="240" w:lineRule="auto"/>
        <w:contextualSpacing/>
        <w:jc w:val="center"/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</w:pPr>
      <w:r w:rsidRPr="00AA22D2"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  <w:t>Employees</w:t>
      </w:r>
      <w:bookmarkStart w:id="33" w:name="_GoBack"/>
      <w:bookmarkEnd w:id="33"/>
      <w:r w:rsidR="006C0310"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  <w:t xml:space="preserve"> </w:t>
      </w:r>
      <w:r w:rsidRPr="00AA22D2"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  <w:t>are not to enter any of these spaces at any time.</w:t>
      </w:r>
    </w:p>
    <w:p w14:paraId="1AB78385" w14:textId="77777777" w:rsidR="00AA22D2" w:rsidRPr="00AA22D2" w:rsidRDefault="00AA22D2" w:rsidP="0041326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ED8B00"/>
          <w:sz w:val="32"/>
          <w:szCs w:val="32"/>
          <w:lang w:eastAsia="en-CA"/>
        </w:rPr>
      </w:pPr>
      <w:r w:rsidRPr="00AA22D2">
        <w:rPr>
          <w:rFonts w:eastAsia="Times New Roman" w:hAnsi="Calibri" w:cs="Arial"/>
          <w:b/>
          <w:color w:val="000000" w:themeColor="text1"/>
          <w:kern w:val="24"/>
          <w:sz w:val="32"/>
          <w:szCs w:val="32"/>
          <w:lang w:eastAsia="en-CA"/>
        </w:rPr>
        <w:t>Rescue in such spaces should never be attempted without proper training and equipment.  Most would be rescuers become victims if not properly trained and equipped</w:t>
      </w:r>
    </w:p>
    <w:p w14:paraId="0D3D3B58" w14:textId="77777777" w:rsidR="00AA22D2" w:rsidRPr="00085C12" w:rsidRDefault="00AA22D2">
      <w:pPr>
        <w:rPr>
          <w:b/>
          <w:sz w:val="56"/>
          <w:szCs w:val="56"/>
        </w:rPr>
      </w:pPr>
    </w:p>
    <w:sectPr w:rsidR="00AA22D2" w:rsidRPr="00085C12" w:rsidSect="00413264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3D36" w14:textId="77777777" w:rsidR="008A787E" w:rsidRDefault="008A787E" w:rsidP="00413264">
      <w:pPr>
        <w:spacing w:after="0" w:line="240" w:lineRule="auto"/>
      </w:pPr>
      <w:r>
        <w:separator/>
      </w:r>
    </w:p>
  </w:endnote>
  <w:endnote w:type="continuationSeparator" w:id="0">
    <w:p w14:paraId="2206D086" w14:textId="77777777" w:rsidR="008A787E" w:rsidRDefault="008A787E" w:rsidP="0041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9308" w14:textId="59BF350E" w:rsidR="00413264" w:rsidRPr="00413264" w:rsidRDefault="00413264" w:rsidP="00413264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40332"/>
    <w:bookmarkStart w:id="1" w:name="_Hlk502833575"/>
    <w:bookmarkStart w:id="2" w:name="_Hlk502833576"/>
    <w:bookmarkStart w:id="3" w:name="_Hlk502833701"/>
    <w:bookmarkStart w:id="4" w:name="_Hlk502833702"/>
    <w:bookmarkStart w:id="5" w:name="_Hlk502834066"/>
    <w:bookmarkStart w:id="6" w:name="_Hlk502834067"/>
    <w:bookmarkStart w:id="7" w:name="_Hlk502834765"/>
    <w:bookmarkStart w:id="8" w:name="_Hlk502834766"/>
    <w:bookmarkStart w:id="9" w:name="_Hlk502835053"/>
    <w:bookmarkStart w:id="10" w:name="_Hlk502835054"/>
    <w:bookmarkStart w:id="11" w:name="_Hlk502835220"/>
    <w:bookmarkStart w:id="12" w:name="_Hlk502835221"/>
    <w:bookmarkStart w:id="13" w:name="_Hlk502835420"/>
    <w:bookmarkStart w:id="14" w:name="_Hlk502835421"/>
    <w:bookmarkStart w:id="15" w:name="_Hlk502837484"/>
    <w:bookmarkStart w:id="16" w:name="_Hlk502837485"/>
    <w:bookmarkStart w:id="17" w:name="_Hlk502838506"/>
    <w:bookmarkStart w:id="18" w:name="_Hlk502838507"/>
    <w:bookmarkStart w:id="19" w:name="_Hlk502838594"/>
    <w:bookmarkStart w:id="20" w:name="_Hlk502838595"/>
    <w:bookmarkStart w:id="21" w:name="_Hlk502838770"/>
    <w:bookmarkStart w:id="22" w:name="_Hlk502838771"/>
    <w:bookmarkStart w:id="23" w:name="_Hlk502838884"/>
    <w:bookmarkStart w:id="24" w:name="_Hlk502838885"/>
    <w:bookmarkStart w:id="25" w:name="_Hlk502839291"/>
    <w:bookmarkStart w:id="26" w:name="_Hlk502839292"/>
    <w:bookmarkStart w:id="27" w:name="_Hlk502839712"/>
    <w:bookmarkStart w:id="28" w:name="_Hlk502839713"/>
    <w:bookmarkStart w:id="29" w:name="_Hlk502840772"/>
    <w:bookmarkStart w:id="30" w:name="_Hlk502840773"/>
    <w:bookmarkStart w:id="31" w:name="_Hlk502903580"/>
    <w:bookmarkStart w:id="32" w:name="_Hlk502903581"/>
    <w:r w:rsidRPr="008B7B47">
      <w:rPr>
        <w:color w:val="589199"/>
        <w:sz w:val="16"/>
      </w:rPr>
      <w:t>Please use this as a guide for building your own Safe Work Practices. (2017)</w:t>
    </w:r>
    <w:bookmarkEnd w:id="0"/>
    <w:r w:rsidRPr="008B7B47">
      <w:rPr>
        <w:sz w:val="16"/>
      </w:rPr>
      <w:tab/>
    </w:r>
    <w:r w:rsidRPr="008B7B47">
      <w:rPr>
        <w:sz w:val="16"/>
      </w:rPr>
      <w:tab/>
    </w:r>
    <w:r w:rsidRPr="008B7B47">
      <w:rPr>
        <w:color w:val="589199"/>
        <w:spacing w:val="60"/>
        <w:sz w:val="16"/>
      </w:rPr>
      <w:t>www.AgSafeBC.ca</w:t>
    </w:r>
    <w:r w:rsidRPr="008B7B47">
      <w:rPr>
        <w:color w:val="589199"/>
        <w:sz w:val="16"/>
      </w:rPr>
      <w:t xml:space="preserve"> | </w:t>
    </w:r>
    <w:r w:rsidRPr="008B7B47">
      <w:rPr>
        <w:color w:val="589199"/>
        <w:sz w:val="16"/>
      </w:rPr>
      <w:fldChar w:fldCharType="begin"/>
    </w:r>
    <w:r w:rsidRPr="008B7B47">
      <w:rPr>
        <w:color w:val="589199"/>
        <w:sz w:val="16"/>
      </w:rPr>
      <w:instrText xml:space="preserve"> PAGE   \* MERGEFORMAT </w:instrText>
    </w:r>
    <w:r w:rsidRPr="008B7B47">
      <w:rPr>
        <w:color w:val="589199"/>
        <w:sz w:val="16"/>
      </w:rPr>
      <w:fldChar w:fldCharType="separate"/>
    </w:r>
    <w:r w:rsidR="008A787E" w:rsidRPr="008A787E">
      <w:rPr>
        <w:b/>
        <w:bCs/>
        <w:noProof/>
        <w:color w:val="589199"/>
        <w:sz w:val="16"/>
      </w:rPr>
      <w:t>1</w:t>
    </w:r>
    <w:r w:rsidRPr="008B7B47">
      <w:rPr>
        <w:b/>
        <w:bCs/>
        <w:noProof/>
        <w:color w:val="589199"/>
        <w:sz w:val="16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75B2" w14:textId="77777777" w:rsidR="008A787E" w:rsidRDefault="008A787E" w:rsidP="00413264">
      <w:pPr>
        <w:spacing w:after="0" w:line="240" w:lineRule="auto"/>
      </w:pPr>
      <w:r>
        <w:separator/>
      </w:r>
    </w:p>
  </w:footnote>
  <w:footnote w:type="continuationSeparator" w:id="0">
    <w:p w14:paraId="754E249A" w14:textId="77777777" w:rsidR="008A787E" w:rsidRDefault="008A787E" w:rsidP="0041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EF79" w14:textId="0F5C6379" w:rsidR="00413264" w:rsidRPr="00413264" w:rsidRDefault="00413264">
    <w:pPr>
      <w:pStyle w:val="Header"/>
      <w:rPr>
        <w:b/>
        <w:color w:val="589199"/>
        <w:sz w:val="40"/>
      </w:rPr>
    </w:pPr>
    <w:r w:rsidRPr="00413264">
      <w:rPr>
        <w:b/>
        <w:color w:val="589199"/>
        <w:sz w:val="40"/>
      </w:rPr>
      <w:t>Types of Confined Spaces in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EC6"/>
    <w:multiLevelType w:val="hybridMultilevel"/>
    <w:tmpl w:val="9A0C65C8"/>
    <w:lvl w:ilvl="0" w:tplc="35AA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E98300"/>
      </w:rPr>
    </w:lvl>
    <w:lvl w:ilvl="1" w:tplc="B4A4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9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6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R1K9DWIQingPC8/0dhD9iZR5xsoLwUKRT3r682M+hsdxPIXR7h2MaJi6aESL9iXLEVsTdbx/TR3dU0HMEiHEA==" w:salt="cMqVitWJ39sYmkJaBuxVC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97"/>
    <w:rsid w:val="000072D2"/>
    <w:rsid w:val="00085C12"/>
    <w:rsid w:val="00413264"/>
    <w:rsid w:val="005F4A41"/>
    <w:rsid w:val="006C0310"/>
    <w:rsid w:val="00856397"/>
    <w:rsid w:val="008A787E"/>
    <w:rsid w:val="00A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138A"/>
  <w15:chartTrackingRefBased/>
  <w15:docId w15:val="{29949C42-5930-45CB-B084-35B5058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64"/>
  </w:style>
  <w:style w:type="paragraph" w:styleId="Footer">
    <w:name w:val="footer"/>
    <w:basedOn w:val="Normal"/>
    <w:link w:val="FooterChar"/>
    <w:uiPriority w:val="99"/>
    <w:unhideWhenUsed/>
    <w:rsid w:val="0041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Wendy Bennett</cp:lastModifiedBy>
  <cp:revision>7</cp:revision>
  <cp:lastPrinted>2017-03-24T17:00:00Z</cp:lastPrinted>
  <dcterms:created xsi:type="dcterms:W3CDTF">2015-08-14T16:09:00Z</dcterms:created>
  <dcterms:modified xsi:type="dcterms:W3CDTF">2018-02-01T23:29:00Z</dcterms:modified>
</cp:coreProperties>
</file>