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39E1" w14:textId="77777777" w:rsidR="00020264" w:rsidRDefault="00020264" w:rsidP="000A21BA">
      <w:pPr>
        <w:spacing w:after="0" w:line="240" w:lineRule="auto"/>
        <w:ind w:left="0" w:right="461" w:firstLine="0"/>
        <w:rPr>
          <w:rFonts w:asciiTheme="minorHAnsi" w:hAnsiTheme="minorHAnsi"/>
        </w:rPr>
        <w:sectPr w:rsidR="00020264" w:rsidSect="00D919FC">
          <w:headerReference w:type="default" r:id="rId11"/>
          <w:footerReference w:type="default" r:id="rId12"/>
          <w:pgSz w:w="12240" w:h="15840"/>
          <w:pgMar w:top="720" w:right="720" w:bottom="720" w:left="720" w:header="432" w:footer="288" w:gutter="0"/>
          <w:cols w:space="708"/>
          <w:docGrid w:linePitch="360"/>
        </w:sectPr>
      </w:pPr>
    </w:p>
    <w:p w14:paraId="3549D570" w14:textId="307A0297" w:rsidR="000A21BA" w:rsidRPr="003B4C57" w:rsidRDefault="000A21BA" w:rsidP="000A21BA">
      <w:pPr>
        <w:spacing w:after="0" w:line="240" w:lineRule="auto"/>
        <w:ind w:left="0" w:right="461" w:firstLine="0"/>
        <w:rPr>
          <w:rFonts w:asciiTheme="minorHAnsi" w:hAnsiTheme="minorHAnsi"/>
          <w:sz w:val="24"/>
        </w:rPr>
      </w:pPr>
      <w:r w:rsidRPr="003B4C57">
        <w:rPr>
          <w:rFonts w:asciiTheme="minorHAnsi" w:hAnsiTheme="minorHAnsi"/>
          <w:sz w:val="24"/>
        </w:rPr>
        <w:t>Emergency procedures and emergency information is to be posted in prominent locations and near each telephone on the property.</w:t>
      </w:r>
      <w:bookmarkStart w:id="0" w:name="_GoBack"/>
      <w:bookmarkEnd w:id="0"/>
    </w:p>
    <w:p w14:paraId="6C8DF357" w14:textId="77777777" w:rsidR="000A21BA" w:rsidRPr="003B4C57" w:rsidRDefault="000A21BA" w:rsidP="000A21BA">
      <w:pPr>
        <w:spacing w:after="0" w:line="259" w:lineRule="auto"/>
        <w:ind w:left="426"/>
        <w:rPr>
          <w:rFonts w:asciiTheme="minorHAnsi" w:hAnsiTheme="minorHAnsi"/>
          <w:sz w:val="24"/>
        </w:rPr>
      </w:pPr>
    </w:p>
    <w:p w14:paraId="1CBD3FA7" w14:textId="77777777" w:rsidR="000A21BA" w:rsidRPr="003B4C57" w:rsidRDefault="000A21BA" w:rsidP="000A21BA">
      <w:pPr>
        <w:spacing w:after="0" w:line="240" w:lineRule="auto"/>
        <w:ind w:right="301"/>
        <w:rPr>
          <w:rFonts w:asciiTheme="minorHAnsi" w:hAnsiTheme="minorHAnsi"/>
          <w:sz w:val="24"/>
        </w:rPr>
      </w:pPr>
      <w:r w:rsidRPr="003B4C57">
        <w:rPr>
          <w:rFonts w:asciiTheme="minorHAnsi" w:hAnsiTheme="minorHAnsi"/>
          <w:sz w:val="24"/>
        </w:rPr>
        <w:t>Evacuation maps are to be posted in strategic locations and emergency exits are to be clearly marked and fire extinguishers properly and regularly serviced.</w:t>
      </w:r>
    </w:p>
    <w:p w14:paraId="233FA4A3" w14:textId="77777777" w:rsidR="000A21BA" w:rsidRPr="003B4C57" w:rsidRDefault="000A21BA" w:rsidP="000A21BA">
      <w:pPr>
        <w:spacing w:after="0" w:line="259" w:lineRule="auto"/>
        <w:ind w:left="426"/>
        <w:rPr>
          <w:rFonts w:asciiTheme="minorHAnsi" w:hAnsiTheme="minorHAnsi"/>
          <w:sz w:val="24"/>
        </w:rPr>
      </w:pPr>
    </w:p>
    <w:p w14:paraId="5B9BD92E" w14:textId="77777777" w:rsidR="000A21BA" w:rsidRPr="00D919FC" w:rsidRDefault="000A21BA" w:rsidP="000A21BA">
      <w:pPr>
        <w:spacing w:after="133" w:line="259" w:lineRule="auto"/>
        <w:rPr>
          <w:rFonts w:asciiTheme="minorHAnsi" w:hAnsiTheme="minorHAnsi"/>
          <w:b/>
          <w:color w:val="E98300"/>
          <w:sz w:val="28"/>
        </w:rPr>
      </w:pPr>
      <w:r w:rsidRPr="00D919FC">
        <w:rPr>
          <w:rFonts w:asciiTheme="minorHAnsi" w:hAnsiTheme="minorHAnsi"/>
          <w:b/>
          <w:color w:val="E98300"/>
          <w:sz w:val="28"/>
        </w:rPr>
        <w:t>Employees are to be trained in emergency procedures including:</w:t>
      </w:r>
    </w:p>
    <w:p w14:paraId="04E79CFF" w14:textId="77777777" w:rsidR="000A21BA" w:rsidRPr="002B2879" w:rsidRDefault="000A21BA" w:rsidP="000A21BA">
      <w:pPr>
        <w:pStyle w:val="ListParagraph"/>
        <w:numPr>
          <w:ilvl w:val="0"/>
          <w:numId w:val="1"/>
        </w:numPr>
        <w:spacing w:after="99" w:line="259" w:lineRule="auto"/>
        <w:rPr>
          <w:rFonts w:asciiTheme="minorHAnsi" w:hAnsiTheme="minorHAnsi"/>
          <w:sz w:val="24"/>
        </w:rPr>
      </w:pPr>
      <w:r w:rsidRPr="002B2879">
        <w:rPr>
          <w:rFonts w:asciiTheme="minorHAnsi" w:hAnsiTheme="minorHAnsi"/>
          <w:sz w:val="24"/>
        </w:rPr>
        <w:t>Components of the emergency response plan</w:t>
      </w:r>
    </w:p>
    <w:p w14:paraId="447E8999" w14:textId="77777777"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Who will be in charge during an emergency</w:t>
      </w:r>
    </w:p>
    <w:p w14:paraId="45719DCE" w14:textId="77777777"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Individual roles and responsibilities</w:t>
      </w:r>
    </w:p>
    <w:p w14:paraId="32BFBEE7" w14:textId="77777777"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Potential threats, hazards, and protective actions</w:t>
      </w:r>
    </w:p>
    <w:p w14:paraId="010B804F" w14:textId="77777777"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Notification, warning, and communications procedures</w:t>
      </w:r>
    </w:p>
    <w:p w14:paraId="314608C1" w14:textId="1AFE3A68"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 xml:space="preserve">How to locate </w:t>
      </w:r>
      <w:r w:rsidR="00C833D4">
        <w:rPr>
          <w:rFonts w:asciiTheme="minorHAnsi" w:hAnsiTheme="minorHAnsi"/>
          <w:sz w:val="24"/>
        </w:rPr>
        <w:t xml:space="preserve">both workers and </w:t>
      </w:r>
      <w:r w:rsidRPr="002B2879">
        <w:rPr>
          <w:rFonts w:asciiTheme="minorHAnsi" w:hAnsiTheme="minorHAnsi"/>
          <w:sz w:val="24"/>
        </w:rPr>
        <w:t>family members in an emergency</w:t>
      </w:r>
    </w:p>
    <w:p w14:paraId="66CA947A" w14:textId="77777777" w:rsidR="000A21BA" w:rsidRPr="002B2879" w:rsidRDefault="000A21BA" w:rsidP="000A21BA">
      <w:pPr>
        <w:pStyle w:val="ListParagraph"/>
        <w:numPr>
          <w:ilvl w:val="0"/>
          <w:numId w:val="1"/>
        </w:numPr>
        <w:spacing w:after="100" w:line="259" w:lineRule="auto"/>
        <w:rPr>
          <w:rFonts w:asciiTheme="minorHAnsi" w:hAnsiTheme="minorHAnsi"/>
          <w:sz w:val="24"/>
        </w:rPr>
      </w:pPr>
      <w:r w:rsidRPr="002B2879">
        <w:rPr>
          <w:rFonts w:asciiTheme="minorHAnsi" w:hAnsiTheme="minorHAnsi"/>
          <w:sz w:val="24"/>
        </w:rPr>
        <w:t>Evacuation, shelter, and accountability procedures</w:t>
      </w:r>
    </w:p>
    <w:p w14:paraId="04AEF2CA" w14:textId="77777777" w:rsidR="000A21BA" w:rsidRPr="002B2879" w:rsidRDefault="000A21BA" w:rsidP="000A21BA">
      <w:pPr>
        <w:pStyle w:val="ListParagraph"/>
        <w:numPr>
          <w:ilvl w:val="0"/>
          <w:numId w:val="1"/>
        </w:numPr>
        <w:spacing w:after="0" w:line="259" w:lineRule="auto"/>
        <w:rPr>
          <w:rFonts w:asciiTheme="minorHAnsi" w:hAnsiTheme="minorHAnsi"/>
          <w:sz w:val="24"/>
        </w:rPr>
      </w:pPr>
      <w:r w:rsidRPr="002B2879">
        <w:rPr>
          <w:rFonts w:asciiTheme="minorHAnsi" w:hAnsiTheme="minorHAnsi"/>
          <w:sz w:val="24"/>
        </w:rPr>
        <w:t>Location and use of common emergency procedures</w:t>
      </w:r>
    </w:p>
    <w:p w14:paraId="46A4DEBD" w14:textId="77777777" w:rsidR="000A21BA" w:rsidRPr="003B4C57" w:rsidRDefault="000A21BA" w:rsidP="000A21BA">
      <w:pPr>
        <w:spacing w:after="0" w:line="259" w:lineRule="auto"/>
        <w:rPr>
          <w:rFonts w:asciiTheme="minorHAnsi" w:hAnsiTheme="minorHAnsi"/>
          <w:sz w:val="24"/>
        </w:rPr>
      </w:pPr>
    </w:p>
    <w:p w14:paraId="3E01CAB5" w14:textId="77777777" w:rsidR="000A21BA" w:rsidRPr="003B4C57" w:rsidRDefault="000A21BA" w:rsidP="000A21BA">
      <w:pPr>
        <w:spacing w:after="1" w:line="239" w:lineRule="auto"/>
        <w:ind w:right="315"/>
        <w:rPr>
          <w:rFonts w:asciiTheme="minorHAnsi" w:hAnsiTheme="minorHAnsi"/>
          <w:sz w:val="24"/>
        </w:rPr>
      </w:pPr>
      <w:r w:rsidRPr="003B4C57">
        <w:rPr>
          <w:rFonts w:asciiTheme="minorHAnsi" w:hAnsiTheme="minorHAnsi"/>
          <w:sz w:val="24"/>
        </w:rPr>
        <w:t>Such training will take place during orientation training and annually through emergency drills.  Emergency drills will test the emergency plan and records of the outcome will be documented in the Notes from Annual Emergency Drills form.</w:t>
      </w:r>
    </w:p>
    <w:p w14:paraId="65CA579F" w14:textId="77777777" w:rsidR="000A21BA" w:rsidRPr="003B4C57" w:rsidRDefault="000A21BA" w:rsidP="000A21BA">
      <w:pPr>
        <w:spacing w:after="0" w:line="259" w:lineRule="auto"/>
        <w:rPr>
          <w:rFonts w:asciiTheme="minorHAnsi" w:hAnsiTheme="minorHAnsi"/>
          <w:sz w:val="24"/>
        </w:rPr>
      </w:pPr>
    </w:p>
    <w:p w14:paraId="1E904EBF" w14:textId="77777777" w:rsidR="000A21BA" w:rsidRPr="003B4C57" w:rsidRDefault="000A21BA" w:rsidP="000A21BA">
      <w:pPr>
        <w:spacing w:after="1" w:line="239" w:lineRule="auto"/>
        <w:ind w:right="471"/>
        <w:rPr>
          <w:rFonts w:asciiTheme="minorHAnsi" w:hAnsiTheme="minorHAnsi"/>
          <w:sz w:val="24"/>
        </w:rPr>
      </w:pPr>
      <w:r w:rsidRPr="003B4C57">
        <w:rPr>
          <w:rFonts w:asciiTheme="minorHAnsi" w:hAnsiTheme="minorHAnsi"/>
          <w:sz w:val="24"/>
        </w:rPr>
        <w:t>Records of employees who have received training will be kept in the Emergency Response Plan Rescue and Evacuation form.</w:t>
      </w:r>
    </w:p>
    <w:p w14:paraId="2129C304" w14:textId="77777777" w:rsidR="000A21BA" w:rsidRDefault="000A21BA" w:rsidP="000A21BA">
      <w:pPr>
        <w:spacing w:after="218" w:line="259" w:lineRule="auto"/>
        <w:ind w:left="0" w:firstLine="0"/>
        <w:rPr>
          <w:rFonts w:asciiTheme="minorHAnsi" w:hAnsiTheme="minorHAnsi"/>
        </w:rPr>
      </w:pPr>
    </w:p>
    <w:p w14:paraId="5A2B2AD2" w14:textId="77777777" w:rsidR="004F22EA" w:rsidRDefault="00E007C8"/>
    <w:sectPr w:rsidR="004F22EA" w:rsidSect="00020264">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ECF3" w14:textId="77777777" w:rsidR="00E007C8" w:rsidRDefault="00E007C8" w:rsidP="00E078AD">
      <w:pPr>
        <w:spacing w:after="0" w:line="240" w:lineRule="auto"/>
      </w:pPr>
      <w:r>
        <w:separator/>
      </w:r>
    </w:p>
  </w:endnote>
  <w:endnote w:type="continuationSeparator" w:id="0">
    <w:p w14:paraId="29D54773" w14:textId="77777777" w:rsidR="00E007C8" w:rsidRDefault="00E007C8" w:rsidP="00E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AB5D" w14:textId="3AF34595" w:rsidR="00D919FC" w:rsidRDefault="00D919FC">
    <w:pPr>
      <w:pStyle w:val="Footer"/>
    </w:pPr>
    <w:r>
      <w:rPr>
        <w:noProof/>
      </w:rPr>
      <w:drawing>
        <wp:inline distT="0" distB="0" distL="0" distR="0" wp14:anchorId="687EB0AE" wp14:editId="4A019D10">
          <wp:extent cx="6848475" cy="952500"/>
          <wp:effectExtent l="0" t="0" r="9525" b="0"/>
          <wp:docPr id="1" name="Picture 1"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E7D8" w14:textId="77777777" w:rsidR="00E007C8" w:rsidRDefault="00E007C8" w:rsidP="00E078AD">
      <w:pPr>
        <w:spacing w:after="0" w:line="240" w:lineRule="auto"/>
      </w:pPr>
      <w:r>
        <w:separator/>
      </w:r>
    </w:p>
  </w:footnote>
  <w:footnote w:type="continuationSeparator" w:id="0">
    <w:p w14:paraId="4F7056FB" w14:textId="77777777" w:rsidR="00E007C8" w:rsidRDefault="00E007C8" w:rsidP="00E0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5F06" w14:textId="18A3DD20" w:rsidR="00E078AD" w:rsidRPr="00D919FC" w:rsidRDefault="00E078AD" w:rsidP="00D919FC">
    <w:pPr>
      <w:spacing w:after="0" w:line="240" w:lineRule="auto"/>
      <w:ind w:left="0" w:firstLine="0"/>
      <w:rPr>
        <w:rFonts w:ascii="Calibri" w:eastAsia="Times New Roman" w:hAnsi="Calibri"/>
        <w:sz w:val="16"/>
        <w:szCs w:val="20"/>
        <w:lang w:val="en-US" w:eastAsia="en-US"/>
      </w:rPr>
    </w:pPr>
  </w:p>
  <w:tbl>
    <w:tblPr>
      <w:tblStyle w:val="TableGrid"/>
      <w:tblpPr w:leftFromText="180" w:rightFromText="180" w:vertAnchor="text" w:horzAnchor="margin" w:tblpXSpec="right" w:tblpY="-162"/>
      <w:tblW w:w="747" w:type="pct"/>
      <w:tblLook w:val="04A0" w:firstRow="1" w:lastRow="0" w:firstColumn="1" w:lastColumn="0" w:noHBand="0" w:noVBand="1"/>
    </w:tblPr>
    <w:tblGrid>
      <w:gridCol w:w="1614"/>
    </w:tblGrid>
    <w:tr w:rsidR="00D919FC" w:rsidRPr="00274BBB" w14:paraId="610086AC" w14:textId="77777777" w:rsidTr="00274BBB">
      <w:trPr>
        <w:trHeight w:val="454"/>
      </w:trPr>
      <w:tc>
        <w:tcPr>
          <w:tcW w:w="5000" w:type="pct"/>
          <w:tcBorders>
            <w:top w:val="nil"/>
            <w:left w:val="nil"/>
            <w:bottom w:val="nil"/>
            <w:right w:val="nil"/>
          </w:tcBorders>
          <w:shd w:val="clear" w:color="auto" w:fill="156570"/>
          <w:vAlign w:val="center"/>
        </w:tcPr>
        <w:p w14:paraId="2AD8FA21" w14:textId="285FA853" w:rsidR="00D919FC" w:rsidRPr="00274BBB" w:rsidRDefault="00D919FC" w:rsidP="00D919FC">
          <w:pPr>
            <w:spacing w:after="0"/>
            <w:jc w:val="center"/>
            <w:rPr>
              <w:rFonts w:ascii="Calibri" w:hAnsi="Calibri"/>
              <w:b/>
              <w:bCs/>
              <w:color w:val="589199"/>
              <w:sz w:val="20"/>
              <w:szCs w:val="20"/>
            </w:rPr>
          </w:pPr>
          <w:proofErr w:type="gramStart"/>
          <w:r w:rsidRPr="00274BBB">
            <w:rPr>
              <w:rFonts w:ascii="Calibri" w:hAnsi="Calibri"/>
              <w:b/>
              <w:bCs/>
              <w:color w:val="FFFFFF" w:themeColor="background1"/>
              <w:sz w:val="20"/>
              <w:szCs w:val="20"/>
            </w:rPr>
            <w:t>3.SE.3.2.</w:t>
          </w:r>
          <w:r w:rsidR="00274BBB" w:rsidRPr="00274BBB">
            <w:rPr>
              <w:rFonts w:ascii="Calibri" w:hAnsi="Calibri"/>
              <w:b/>
              <w:bCs/>
              <w:color w:val="FFFFFF" w:themeColor="background1"/>
              <w:sz w:val="20"/>
              <w:szCs w:val="20"/>
            </w:rPr>
            <w:t>EPP</w:t>
          </w:r>
          <w:r w:rsidRPr="00274BBB">
            <w:rPr>
              <w:rFonts w:ascii="Calibri" w:hAnsi="Calibri"/>
              <w:b/>
              <w:bCs/>
              <w:color w:val="FFFFFF" w:themeColor="background1"/>
              <w:sz w:val="20"/>
              <w:szCs w:val="20"/>
            </w:rPr>
            <w:t>(</w:t>
          </w:r>
          <w:proofErr w:type="gramEnd"/>
          <w:r w:rsidRPr="00274BBB">
            <w:rPr>
              <w:rFonts w:ascii="Calibri" w:hAnsi="Calibri"/>
              <w:b/>
              <w:bCs/>
              <w:color w:val="FFFFFF" w:themeColor="background1"/>
              <w:sz w:val="20"/>
              <w:szCs w:val="20"/>
            </w:rPr>
            <w:t>1)</w:t>
          </w:r>
        </w:p>
      </w:tc>
    </w:tr>
  </w:tbl>
  <w:p w14:paraId="6C3B67A6" w14:textId="6E16FB75" w:rsidR="00D919FC" w:rsidRPr="00D919FC" w:rsidRDefault="00E007C8" w:rsidP="00D919FC">
    <w:pPr>
      <w:pStyle w:val="Header"/>
      <w:rPr>
        <w:rFonts w:ascii="Calibri" w:hAnsi="Calibri"/>
        <w:caps/>
        <w:color w:val="7AB800"/>
        <w:sz w:val="20"/>
        <w:szCs w:val="20"/>
      </w:rPr>
    </w:pPr>
    <w:sdt>
      <w:sdtPr>
        <w:rPr>
          <w:rFonts w:ascii="Calibri" w:hAnsi="Calibri"/>
          <w:caps/>
          <w:color w:val="7AB800"/>
          <w:sz w:val="14"/>
          <w:szCs w:val="14"/>
        </w:rPr>
        <w:alias w:val="Date"/>
        <w:tag w:val="Date"/>
        <w:id w:val="-1209415048"/>
        <w:placeholder>
          <w:docPart w:val="1890ED3EAA3E4B27A2FCF13AF4C7AB83"/>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r w:rsidR="003E6500">
          <w:rPr>
            <w:rFonts w:ascii="Calibri" w:hAnsi="Calibri"/>
            <w:caps/>
            <w:color w:val="7AB800"/>
            <w:sz w:val="14"/>
            <w:szCs w:val="14"/>
          </w:rPr>
          <w:t xml:space="preserve">design </w:t>
        </w:r>
        <w:r w:rsidR="00D919FC" w:rsidRPr="003E6500">
          <w:rPr>
            <w:rFonts w:ascii="Calibri" w:hAnsi="Calibri"/>
            <w:caps/>
            <w:color w:val="7AB800"/>
            <w:sz w:val="14"/>
            <w:szCs w:val="14"/>
          </w:rPr>
          <w:t>Updated: 201</w:t>
        </w:r>
        <w:r w:rsidR="00DF7FF5">
          <w:rPr>
            <w:rFonts w:ascii="Calibri" w:hAnsi="Calibri"/>
            <w:caps/>
            <w:color w:val="7AB800"/>
            <w:sz w:val="14"/>
            <w:szCs w:val="14"/>
          </w:rPr>
          <w:t>9-01</w:t>
        </w:r>
      </w:sdtContent>
    </w:sdt>
    <w:r w:rsidR="00D919FC" w:rsidRPr="00D919FC">
      <w:rPr>
        <w:rFonts w:ascii="Calibri" w:hAnsi="Calibri"/>
        <w:caps/>
        <w:color w:val="7AB800"/>
        <w:sz w:val="20"/>
        <w:szCs w:val="20"/>
      </w:rPr>
      <w:t xml:space="preserve"> </w:t>
    </w:r>
    <w:r w:rsidR="00D919FC" w:rsidRPr="00D919FC">
      <w:rPr>
        <w:rFonts w:ascii="Calibri" w:hAnsi="Calibri"/>
        <w:caps/>
        <w:color w:val="7AB800"/>
        <w:sz w:val="20"/>
        <w:szCs w:val="20"/>
      </w:rPr>
      <w:tab/>
    </w:r>
  </w:p>
  <w:p w14:paraId="25EA450B" w14:textId="6CEA4B46" w:rsidR="00E078AD" w:rsidRPr="00D919FC" w:rsidRDefault="00E007C8" w:rsidP="00D919FC">
    <w:pPr>
      <w:pStyle w:val="Header"/>
      <w:rPr>
        <w:rFonts w:ascii="Calibri" w:hAnsi="Calibri"/>
        <w:caps/>
        <w:color w:val="44546A" w:themeColor="text2"/>
        <w:sz w:val="20"/>
        <w:szCs w:val="20"/>
      </w:rPr>
    </w:pPr>
    <w:sdt>
      <w:sdtPr>
        <w:rPr>
          <w:rFonts w:ascii="Calibri" w:hAnsi="Calibri"/>
          <w:b/>
          <w:color w:val="589199"/>
          <w:sz w:val="40"/>
          <w:szCs w:val="40"/>
        </w:rPr>
        <w:alias w:val="Title"/>
        <w:tag w:val=""/>
        <w:id w:val="-831053158"/>
        <w:placeholder>
          <w:docPart w:val="5C41F9B7DA1149639BF42B5F45C61047"/>
        </w:placeholder>
        <w:dataBinding w:prefixMappings="xmlns:ns0='http://purl.org/dc/elements/1.1/' xmlns:ns1='http://schemas.openxmlformats.org/package/2006/metadata/core-properties' " w:xpath="/ns1:coreProperties[1]/ns0:title[1]" w:storeItemID="{6C3C8BC8-F283-45AE-878A-BAB7291924A1}"/>
        <w:text/>
      </w:sdtPr>
      <w:sdtEndPr/>
      <w:sdtContent>
        <w:r w:rsidR="00D919FC">
          <w:rPr>
            <w:rFonts w:ascii="Calibri" w:hAnsi="Calibri"/>
            <w:b/>
            <w:color w:val="589199"/>
            <w:sz w:val="40"/>
            <w:szCs w:val="40"/>
          </w:rPr>
          <w:t>Emergency Information Training</w:t>
        </w:r>
        <w:r w:rsidR="00274BBB">
          <w:rPr>
            <w:rFonts w:ascii="Calibri" w:hAnsi="Calibri"/>
            <w:b/>
            <w:color w:val="589199"/>
            <w:sz w:val="40"/>
            <w:szCs w:val="40"/>
          </w:rPr>
          <w:t>/</w:t>
        </w:r>
        <w:r w:rsidR="00D919FC" w:rsidRPr="00D919FC">
          <w:rPr>
            <w:rFonts w:ascii="Calibri" w:hAnsi="Calibri"/>
            <w:b/>
            <w:color w:val="589199"/>
            <w:sz w:val="40"/>
            <w:szCs w:val="40"/>
          </w:rPr>
          <w:t>Communication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B0E1A"/>
    <w:multiLevelType w:val="hybridMultilevel"/>
    <w:tmpl w:val="834A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MuUH3H9/lXBdCQmbccsu6PwfjNQCrfABn/EAKodmo76vCOwxuxZo3ejAObU3HpMpXqdr0HiQtuU+RMGue7sHrw==" w:salt="koIAOH0JPcezw+1C9FeI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BA"/>
    <w:rsid w:val="00020264"/>
    <w:rsid w:val="000A21BA"/>
    <w:rsid w:val="00274BBB"/>
    <w:rsid w:val="003E6500"/>
    <w:rsid w:val="008C2566"/>
    <w:rsid w:val="009A2CB2"/>
    <w:rsid w:val="00C71E2A"/>
    <w:rsid w:val="00C833D4"/>
    <w:rsid w:val="00D919FC"/>
    <w:rsid w:val="00DF7FF5"/>
    <w:rsid w:val="00E007C8"/>
    <w:rsid w:val="00E078AD"/>
    <w:rsid w:val="00E84F10"/>
    <w:rsid w:val="00EA6728"/>
    <w:rsid w:val="00F63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BFBE"/>
  <w15:chartTrackingRefBased/>
  <w15:docId w15:val="{3641B4AB-D9F9-466A-BDCD-0D312AC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BA"/>
    <w:pPr>
      <w:spacing w:after="125" w:line="271" w:lineRule="auto"/>
      <w:ind w:left="10" w:hanging="10"/>
    </w:pPr>
    <w:rPr>
      <w:rFonts w:ascii="Arial" w:eastAsia="Arial" w:hAnsi="Arial" w:cs="Arial"/>
      <w:color w:val="000000"/>
      <w:lang w:eastAsia="en-CA"/>
    </w:rPr>
  </w:style>
  <w:style w:type="paragraph" w:styleId="Heading2">
    <w:name w:val="heading 2"/>
    <w:basedOn w:val="Normal"/>
    <w:next w:val="Normal"/>
    <w:link w:val="Heading2Char"/>
    <w:uiPriority w:val="1"/>
    <w:unhideWhenUsed/>
    <w:qFormat/>
    <w:rsid w:val="000A21BA"/>
    <w:pPr>
      <w:shd w:val="clear" w:color="auto" w:fill="3CB6CE"/>
      <w:spacing w:line="451" w:lineRule="exact"/>
      <w:ind w:left="30"/>
      <w:outlineLvl w:val="1"/>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A21BA"/>
    <w:rPr>
      <w:rFonts w:ascii="Calibri" w:eastAsia="Arial" w:hAnsi="Calibri" w:cs="Arial"/>
      <w:b/>
      <w:color w:val="000000"/>
      <w:sz w:val="28"/>
      <w:szCs w:val="28"/>
      <w:shd w:val="clear" w:color="auto" w:fill="3CB6CE"/>
      <w:lang w:eastAsia="en-CA"/>
    </w:rPr>
  </w:style>
  <w:style w:type="paragraph" w:styleId="ListParagraph">
    <w:name w:val="List Paragraph"/>
    <w:basedOn w:val="Normal"/>
    <w:uiPriority w:val="1"/>
    <w:qFormat/>
    <w:rsid w:val="000A21BA"/>
    <w:pPr>
      <w:ind w:left="720"/>
      <w:contextualSpacing/>
    </w:pPr>
  </w:style>
  <w:style w:type="paragraph" w:styleId="Header">
    <w:name w:val="header"/>
    <w:basedOn w:val="Normal"/>
    <w:link w:val="HeaderChar"/>
    <w:uiPriority w:val="99"/>
    <w:unhideWhenUsed/>
    <w:rsid w:val="00E0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AD"/>
    <w:rPr>
      <w:rFonts w:ascii="Arial" w:eastAsia="Arial" w:hAnsi="Arial" w:cs="Arial"/>
      <w:color w:val="000000"/>
      <w:lang w:eastAsia="en-CA"/>
    </w:rPr>
  </w:style>
  <w:style w:type="paragraph" w:styleId="Footer">
    <w:name w:val="footer"/>
    <w:basedOn w:val="Normal"/>
    <w:link w:val="FooterChar"/>
    <w:uiPriority w:val="99"/>
    <w:unhideWhenUsed/>
    <w:rsid w:val="00E0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AD"/>
    <w:rPr>
      <w:rFonts w:ascii="Arial" w:eastAsia="Arial" w:hAnsi="Arial" w:cs="Arial"/>
      <w:color w:val="000000"/>
      <w:lang w:eastAsia="en-CA"/>
    </w:rPr>
  </w:style>
  <w:style w:type="table" w:styleId="TableGrid">
    <w:name w:val="Table Grid"/>
    <w:basedOn w:val="TableNormal"/>
    <w:uiPriority w:val="39"/>
    <w:rsid w:val="00D9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19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0ED3EAA3E4B27A2FCF13AF4C7AB83"/>
        <w:category>
          <w:name w:val="General"/>
          <w:gallery w:val="placeholder"/>
        </w:category>
        <w:types>
          <w:type w:val="bbPlcHdr"/>
        </w:types>
        <w:behaviors>
          <w:behavior w:val="content"/>
        </w:behaviors>
        <w:guid w:val="{CF78D80C-E740-43CB-BBF4-CCBA3F5D2355}"/>
      </w:docPartPr>
      <w:docPartBody>
        <w:p w:rsidR="00B9047D" w:rsidRDefault="002B7BEE" w:rsidP="002B7BEE">
          <w:pPr>
            <w:pStyle w:val="1890ED3EAA3E4B27A2FCF13AF4C7AB83"/>
          </w:pPr>
          <w:r>
            <w:rPr>
              <w:rStyle w:val="PlaceholderText"/>
            </w:rPr>
            <w:t>[Date]</w:t>
          </w:r>
        </w:p>
      </w:docPartBody>
    </w:docPart>
    <w:docPart>
      <w:docPartPr>
        <w:name w:val="5C41F9B7DA1149639BF42B5F45C61047"/>
        <w:category>
          <w:name w:val="General"/>
          <w:gallery w:val="placeholder"/>
        </w:category>
        <w:types>
          <w:type w:val="bbPlcHdr"/>
        </w:types>
        <w:behaviors>
          <w:behavior w:val="content"/>
        </w:behaviors>
        <w:guid w:val="{3491505B-0479-4946-8FEA-4C053DBCACEC}"/>
      </w:docPartPr>
      <w:docPartBody>
        <w:p w:rsidR="00B9047D" w:rsidRDefault="002B7BEE" w:rsidP="002B7BEE">
          <w:pPr>
            <w:pStyle w:val="5C41F9B7DA1149639BF42B5F45C61047"/>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EE"/>
    <w:rsid w:val="00212F6F"/>
    <w:rsid w:val="002A5071"/>
    <w:rsid w:val="002B7BEE"/>
    <w:rsid w:val="00B90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BEE"/>
    <w:rPr>
      <w:color w:val="808080"/>
    </w:rPr>
  </w:style>
  <w:style w:type="paragraph" w:customStyle="1" w:styleId="1890ED3EAA3E4B27A2FCF13AF4C7AB83">
    <w:name w:val="1890ED3EAA3E4B27A2FCF13AF4C7AB83"/>
    <w:rsid w:val="002B7BEE"/>
  </w:style>
  <w:style w:type="paragraph" w:customStyle="1" w:styleId="5C41F9B7DA1149639BF42B5F45C61047">
    <w:name w:val="5C41F9B7DA1149639BF42B5F45C61047"/>
    <w:rsid w:val="002B7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ED33E-55B1-4172-A7A0-F8390267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A79C5B-3B66-48C3-957F-CA9683930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BB16C-0A41-4DFB-9B6E-A16D7CABD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Emergency Information Training/Communication Policy</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Information Training/Communication Policy</dc:title>
  <dc:subject/>
  <dc:creator>Emily Kerr</dc:creator>
  <cp:keywords/>
  <dc:description/>
  <cp:lastModifiedBy>Trevor Whalley</cp:lastModifiedBy>
  <cp:revision>4</cp:revision>
  <dcterms:created xsi:type="dcterms:W3CDTF">2018-12-14T23:06:00Z</dcterms:created>
  <dcterms:modified xsi:type="dcterms:W3CDTF">2018-12-21T19:25:00Z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